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7F27" w14:textId="77777777" w:rsidR="00652223" w:rsidRDefault="00652DEB" w:rsidP="00C769FE">
      <w:pPr>
        <w:sectPr w:rsidR="00652223" w:rsidSect="0039352C">
          <w:headerReference w:type="default" r:id="rId8"/>
          <w:footerReference w:type="default" r:id="rId9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37F5D" wp14:editId="21737F5E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37F6C" w14:textId="77777777" w:rsidR="000439F3" w:rsidRPr="000439F3" w:rsidRDefault="00652DEB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 w:rsidRPr="00652DEB">
                              <w:rPr>
                                <w:iCs/>
                                <w:sz w:val="22"/>
                              </w:rPr>
                              <w:t>Denní stacionář pro zdravotně a mentálně postižené</w:t>
                            </w:r>
                          </w:p>
                          <w:p w14:paraId="21737F6D" w14:textId="77777777"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14:paraId="21737F6E" w14:textId="77777777"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14:paraId="21737F6F" w14:textId="77777777"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14:paraId="21737F70" w14:textId="77777777"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37F5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14:paraId="21737F6C" w14:textId="77777777" w:rsidR="000439F3" w:rsidRPr="000439F3" w:rsidRDefault="00652DEB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 w:rsidRPr="00652DEB">
                        <w:rPr>
                          <w:iCs/>
                          <w:sz w:val="22"/>
                        </w:rPr>
                        <w:t>Denní stacionář pro zdravotně a mentálně postižené</w:t>
                      </w:r>
                    </w:p>
                    <w:p w14:paraId="21737F6D" w14:textId="77777777"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14:paraId="21737F6E" w14:textId="77777777"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14:paraId="21737F6F" w14:textId="77777777"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14:paraId="21737F70" w14:textId="77777777"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1737F5F" wp14:editId="21737F60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37F28" w14:textId="77777777" w:rsidR="00652223" w:rsidRDefault="00652223" w:rsidP="00125AF2">
      <w:pPr>
        <w:ind w:left="0"/>
      </w:pPr>
    </w:p>
    <w:p w14:paraId="21737F29" w14:textId="77777777" w:rsidR="00A5182D" w:rsidRPr="00312E38" w:rsidRDefault="00A5182D" w:rsidP="00312E38">
      <w:pPr>
        <w:ind w:left="-709"/>
        <w:jc w:val="both"/>
        <w:rPr>
          <w:rFonts w:cstheme="minorHAnsi"/>
          <w:b/>
          <w:bCs/>
          <w:szCs w:val="24"/>
        </w:rPr>
      </w:pPr>
      <w:r w:rsidRPr="00312E38">
        <w:rPr>
          <w:rFonts w:cstheme="minorHAnsi"/>
          <w:b/>
          <w:bCs/>
          <w:szCs w:val="24"/>
        </w:rPr>
        <w:t>Příloha č. 2.</w:t>
      </w:r>
    </w:p>
    <w:p w14:paraId="21737F2A" w14:textId="77777777" w:rsidR="00312E38" w:rsidRDefault="00312E38" w:rsidP="00312E38">
      <w:pPr>
        <w:pStyle w:val="Zkladntext"/>
        <w:tabs>
          <w:tab w:val="left" w:pos="4820"/>
        </w:tabs>
        <w:spacing w:after="0"/>
        <w:jc w:val="both"/>
        <w:rPr>
          <w:rFonts w:asciiTheme="minorHAnsi" w:hAnsiTheme="minorHAnsi" w:cstheme="minorHAnsi"/>
          <w:b/>
          <w:bCs/>
        </w:rPr>
      </w:pPr>
    </w:p>
    <w:p w14:paraId="21737F2B" w14:textId="77777777" w:rsidR="00A5182D" w:rsidRPr="00A5182D" w:rsidRDefault="00A5182D" w:rsidP="00312E38">
      <w:pPr>
        <w:pStyle w:val="Zkladntext"/>
        <w:tabs>
          <w:tab w:val="left" w:pos="4820"/>
        </w:tabs>
        <w:spacing w:after="0"/>
        <w:jc w:val="center"/>
        <w:rPr>
          <w:rFonts w:asciiTheme="minorHAnsi" w:eastAsia="Times New Roman" w:hAnsiTheme="minorHAnsi" w:cstheme="minorHAnsi"/>
          <w:b/>
          <w:bCs/>
        </w:rPr>
      </w:pPr>
      <w:r w:rsidRPr="00A5182D">
        <w:rPr>
          <w:rFonts w:asciiTheme="minorHAnsi" w:hAnsiTheme="minorHAnsi" w:cstheme="minorHAnsi"/>
          <w:b/>
          <w:bCs/>
        </w:rPr>
        <w:t>Vnitřní pravidla</w:t>
      </w:r>
      <w:r w:rsidRPr="00A5182D">
        <w:rPr>
          <w:rFonts w:asciiTheme="minorHAnsi" w:eastAsia="Times New Roman" w:hAnsiTheme="minorHAnsi" w:cstheme="minorHAnsi"/>
          <w:b/>
          <w:bCs/>
        </w:rPr>
        <w:t xml:space="preserve"> </w:t>
      </w:r>
      <w:r w:rsidRPr="00A5182D">
        <w:rPr>
          <w:rFonts w:asciiTheme="minorHAnsi" w:hAnsiTheme="minorHAnsi" w:cstheme="minorHAnsi"/>
          <w:b/>
          <w:bCs/>
        </w:rPr>
        <w:t>pro způsob</w:t>
      </w:r>
      <w:r w:rsidRPr="00A5182D">
        <w:rPr>
          <w:rFonts w:asciiTheme="minorHAnsi" w:eastAsia="Times New Roman" w:hAnsiTheme="minorHAnsi" w:cstheme="minorHAnsi"/>
          <w:b/>
          <w:bCs/>
        </w:rPr>
        <w:t xml:space="preserve"> </w:t>
      </w:r>
      <w:r w:rsidRPr="00A5182D">
        <w:rPr>
          <w:rFonts w:asciiTheme="minorHAnsi" w:hAnsiTheme="minorHAnsi" w:cstheme="minorHAnsi"/>
          <w:b/>
          <w:bCs/>
        </w:rPr>
        <w:t>poskytování</w:t>
      </w:r>
      <w:r w:rsidRPr="00A5182D">
        <w:rPr>
          <w:rFonts w:asciiTheme="minorHAnsi" w:eastAsia="Times New Roman" w:hAnsiTheme="minorHAnsi" w:cstheme="minorHAnsi"/>
          <w:b/>
          <w:bCs/>
        </w:rPr>
        <w:t xml:space="preserve"> </w:t>
      </w:r>
      <w:r w:rsidRPr="00A5182D">
        <w:rPr>
          <w:rFonts w:asciiTheme="minorHAnsi" w:hAnsiTheme="minorHAnsi" w:cstheme="minorHAnsi"/>
          <w:b/>
          <w:bCs/>
        </w:rPr>
        <w:t>sociální</w:t>
      </w:r>
      <w:r w:rsidRPr="00A5182D">
        <w:rPr>
          <w:rFonts w:asciiTheme="minorHAnsi" w:eastAsia="Times New Roman" w:hAnsiTheme="minorHAnsi" w:cstheme="minorHAnsi"/>
          <w:b/>
          <w:bCs/>
        </w:rPr>
        <w:t xml:space="preserve"> </w:t>
      </w:r>
      <w:r w:rsidRPr="00A5182D">
        <w:rPr>
          <w:rFonts w:asciiTheme="minorHAnsi" w:hAnsiTheme="minorHAnsi" w:cstheme="minorHAnsi"/>
          <w:b/>
          <w:bCs/>
        </w:rPr>
        <w:t>služby</w:t>
      </w:r>
    </w:p>
    <w:p w14:paraId="21737F2C" w14:textId="77777777" w:rsidR="00A5182D" w:rsidRPr="00A5182D" w:rsidRDefault="00312E38" w:rsidP="00125AF2">
      <w:pPr>
        <w:pStyle w:val="Zkladntext"/>
        <w:tabs>
          <w:tab w:val="left" w:pos="4820"/>
        </w:tabs>
        <w:spacing w:after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 xml:space="preserve">Denního stacionáře pro zdravotně a mentálně postižené </w:t>
      </w:r>
    </w:p>
    <w:p w14:paraId="21737F2D" w14:textId="77777777" w:rsidR="00A5182D" w:rsidRPr="00312E38" w:rsidRDefault="00A5182D" w:rsidP="00312E38">
      <w:pPr>
        <w:pStyle w:val="Zkladntext"/>
        <w:tabs>
          <w:tab w:val="left" w:pos="4820"/>
        </w:tabs>
        <w:spacing w:after="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1737F2E" w14:textId="77777777" w:rsidR="00A5182D" w:rsidRPr="00A5182D" w:rsidRDefault="00312E38" w:rsidP="00312E38">
      <w:pPr>
        <w:pStyle w:val="Zkladntext"/>
        <w:numPr>
          <w:ilvl w:val="0"/>
          <w:numId w:val="1"/>
        </w:numPr>
        <w:tabs>
          <w:tab w:val="clear" w:pos="720"/>
          <w:tab w:val="left" w:pos="481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312E38">
        <w:rPr>
          <w:rFonts w:asciiTheme="minorHAnsi" w:hAnsiTheme="minorHAnsi" w:cstheme="minorHAnsi"/>
          <w:b/>
        </w:rPr>
        <w:t xml:space="preserve">Denní stacionář pro zdravotně a mentálně postižené </w:t>
      </w:r>
      <w:r w:rsidR="00A5182D" w:rsidRPr="00A5182D">
        <w:rPr>
          <w:rFonts w:asciiTheme="minorHAnsi" w:hAnsiTheme="minorHAnsi" w:cstheme="minorHAnsi"/>
          <w:i/>
        </w:rPr>
        <w:t xml:space="preserve">(dále jen </w:t>
      </w:r>
      <w:r>
        <w:rPr>
          <w:rFonts w:asciiTheme="minorHAnsi" w:hAnsiTheme="minorHAnsi" w:cstheme="minorHAnsi"/>
          <w:i/>
        </w:rPr>
        <w:t>DS</w:t>
      </w:r>
      <w:r w:rsidR="00A5182D" w:rsidRPr="00A5182D">
        <w:rPr>
          <w:rFonts w:asciiTheme="minorHAnsi" w:hAnsiTheme="minorHAnsi" w:cstheme="minorHAnsi"/>
          <w:i/>
        </w:rPr>
        <w:t>)</w:t>
      </w:r>
      <w:r w:rsidR="00A5182D" w:rsidRPr="00A5182D">
        <w:rPr>
          <w:rFonts w:asciiTheme="minorHAnsi" w:hAnsiTheme="minorHAnsi" w:cstheme="minorHAnsi"/>
        </w:rPr>
        <w:t xml:space="preserve">, </w:t>
      </w:r>
      <w:r w:rsidR="000A2370">
        <w:rPr>
          <w:rFonts w:asciiTheme="minorHAnsi" w:hAnsiTheme="minorHAnsi" w:cstheme="minorHAnsi"/>
        </w:rPr>
        <w:t>je</w:t>
      </w:r>
      <w:r w:rsidR="00A5182D" w:rsidRPr="00A5182D">
        <w:rPr>
          <w:rFonts w:asciiTheme="minorHAnsi" w:hAnsiTheme="minorHAnsi" w:cstheme="minorHAnsi"/>
        </w:rPr>
        <w:t xml:space="preserve"> určen převážně osobám s </w:t>
      </w:r>
      <w:r w:rsidR="00A5182D" w:rsidRPr="000A2370">
        <w:rPr>
          <w:rFonts w:asciiTheme="minorHAnsi" w:hAnsiTheme="minorHAnsi" w:cstheme="minorHAnsi"/>
        </w:rPr>
        <w:t>mentálním či kombinovaným postižením</w:t>
      </w:r>
      <w:r w:rsidR="00A5182D" w:rsidRPr="00A5182D">
        <w:rPr>
          <w:rFonts w:asciiTheme="minorHAnsi" w:hAnsiTheme="minorHAnsi" w:cstheme="minorHAnsi"/>
        </w:rPr>
        <w:t xml:space="preserve">. </w:t>
      </w:r>
    </w:p>
    <w:p w14:paraId="21737F2F" w14:textId="77777777" w:rsidR="00A5182D" w:rsidRPr="00A5182D" w:rsidRDefault="00312E38" w:rsidP="00312E38">
      <w:pPr>
        <w:pStyle w:val="Zkladntext"/>
        <w:numPr>
          <w:ilvl w:val="0"/>
          <w:numId w:val="1"/>
        </w:numPr>
        <w:tabs>
          <w:tab w:val="clear" w:pos="720"/>
          <w:tab w:val="left" w:pos="4820"/>
        </w:tabs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DS</w:t>
      </w:r>
      <w:r w:rsidR="00A5182D" w:rsidRPr="00A5182D">
        <w:rPr>
          <w:rFonts w:asciiTheme="minorHAnsi" w:hAnsiTheme="minorHAnsi" w:cstheme="minorHAnsi"/>
        </w:rPr>
        <w:t xml:space="preserve"> poskytuje ambulantní formou sociální službu uživatelům, kteří jsou schopni vzhledem ke svému handicapu akceptovat a adaptovat se na režim služby – včetně jejího materiálního, prostorového a personálního vybavení. Naše zařízení je bezbariérové a to díky plošině pro imobilní osoby. Naše služba nemá zdravotnické oddělení, zdravotnický personál ani lůžkovou část.</w:t>
      </w:r>
    </w:p>
    <w:p w14:paraId="21737F30" w14:textId="77777777" w:rsidR="00A5182D" w:rsidRPr="00A5182D" w:rsidRDefault="00A5182D" w:rsidP="00312E38">
      <w:pPr>
        <w:pStyle w:val="Zkladntext"/>
        <w:numPr>
          <w:ilvl w:val="0"/>
          <w:numId w:val="1"/>
        </w:numPr>
        <w:tabs>
          <w:tab w:val="clear" w:pos="720"/>
          <w:tab w:val="left" w:pos="482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A5182D">
        <w:rPr>
          <w:rFonts w:asciiTheme="minorHAnsi" w:hAnsiTheme="minorHAnsi" w:cstheme="minorHAnsi"/>
        </w:rPr>
        <w:t>Přijímáme zájemce o službu od</w:t>
      </w:r>
      <w:r w:rsidRPr="00B62B35">
        <w:rPr>
          <w:rFonts w:asciiTheme="minorHAnsi" w:hAnsiTheme="minorHAnsi" w:cstheme="minorHAnsi"/>
        </w:rPr>
        <w:t xml:space="preserve"> </w:t>
      </w:r>
      <w:r w:rsidRPr="00A5182D">
        <w:rPr>
          <w:rFonts w:asciiTheme="minorHAnsi" w:hAnsiTheme="minorHAnsi" w:cstheme="minorHAnsi"/>
        </w:rPr>
        <w:t>15 let</w:t>
      </w:r>
      <w:r w:rsidRPr="00B62B35">
        <w:rPr>
          <w:rFonts w:asciiTheme="minorHAnsi" w:hAnsiTheme="minorHAnsi" w:cstheme="minorHAnsi"/>
        </w:rPr>
        <w:t xml:space="preserve"> </w:t>
      </w:r>
      <w:r w:rsidRPr="00A5182D">
        <w:rPr>
          <w:rFonts w:asciiTheme="minorHAnsi" w:hAnsiTheme="minorHAnsi" w:cstheme="minorHAnsi"/>
        </w:rPr>
        <w:t>do</w:t>
      </w:r>
      <w:r w:rsidRPr="00B62B35">
        <w:rPr>
          <w:rFonts w:asciiTheme="minorHAnsi" w:hAnsiTheme="minorHAnsi" w:cstheme="minorHAnsi"/>
        </w:rPr>
        <w:t xml:space="preserve"> </w:t>
      </w:r>
      <w:r w:rsidRPr="00A5182D">
        <w:rPr>
          <w:rFonts w:asciiTheme="minorHAnsi" w:hAnsiTheme="minorHAnsi" w:cstheme="minorHAnsi"/>
        </w:rPr>
        <w:t>cca</w:t>
      </w:r>
      <w:r w:rsidRPr="00B62B35">
        <w:rPr>
          <w:rFonts w:asciiTheme="minorHAnsi" w:hAnsiTheme="minorHAnsi" w:cstheme="minorHAnsi"/>
        </w:rPr>
        <w:t xml:space="preserve"> </w:t>
      </w:r>
      <w:r w:rsidRPr="00A5182D">
        <w:rPr>
          <w:rFonts w:asciiTheme="minorHAnsi" w:hAnsiTheme="minorHAnsi" w:cstheme="minorHAnsi"/>
        </w:rPr>
        <w:t>65</w:t>
      </w:r>
      <w:r w:rsidRPr="00B62B35">
        <w:rPr>
          <w:rFonts w:asciiTheme="minorHAnsi" w:hAnsiTheme="minorHAnsi" w:cstheme="minorHAnsi"/>
        </w:rPr>
        <w:t xml:space="preserve"> </w:t>
      </w:r>
      <w:r w:rsidRPr="00A5182D">
        <w:rPr>
          <w:rFonts w:asciiTheme="minorHAnsi" w:hAnsiTheme="minorHAnsi" w:cstheme="minorHAnsi"/>
        </w:rPr>
        <w:t xml:space="preserve">let. </w:t>
      </w:r>
    </w:p>
    <w:p w14:paraId="21737F31" w14:textId="77777777" w:rsidR="00A5182D" w:rsidRPr="00A5182D" w:rsidRDefault="00A5182D" w:rsidP="00312E38">
      <w:pPr>
        <w:pStyle w:val="Zkladntext"/>
        <w:numPr>
          <w:ilvl w:val="0"/>
          <w:numId w:val="1"/>
        </w:numPr>
        <w:tabs>
          <w:tab w:val="clear" w:pos="720"/>
          <w:tab w:val="left" w:pos="482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A5182D">
        <w:rPr>
          <w:rFonts w:asciiTheme="minorHAnsi" w:hAnsiTheme="minorHAnsi" w:cstheme="minorHAnsi"/>
        </w:rPr>
        <w:t xml:space="preserve">Vzhledem k materiálně technickému a personálnímu vybavení služby poskytujeme službu osobám, u nichž je zachována minimálně základní schopnost sebeobsluhy a základních hygienických návyků. </w:t>
      </w:r>
    </w:p>
    <w:p w14:paraId="21737F32" w14:textId="77777777" w:rsidR="00A5182D" w:rsidRPr="00A5182D" w:rsidRDefault="00A5182D" w:rsidP="00B62B35">
      <w:pPr>
        <w:pStyle w:val="Zkladntext"/>
        <w:numPr>
          <w:ilvl w:val="0"/>
          <w:numId w:val="1"/>
        </w:numPr>
        <w:tabs>
          <w:tab w:val="clear" w:pos="720"/>
          <w:tab w:val="left" w:pos="482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A5182D">
        <w:rPr>
          <w:rFonts w:asciiTheme="minorHAnsi" w:hAnsiTheme="minorHAnsi" w:cstheme="minorHAnsi"/>
        </w:rPr>
        <w:t>Prostřednictvím sociální služby se naplňují a uspokojují potřeby</w:t>
      </w:r>
      <w:r w:rsidRPr="00B62B35">
        <w:rPr>
          <w:rFonts w:asciiTheme="minorHAnsi" w:hAnsiTheme="minorHAnsi" w:cstheme="minorHAnsi"/>
        </w:rPr>
        <w:t xml:space="preserve"> </w:t>
      </w:r>
      <w:r w:rsidRPr="00A5182D">
        <w:rPr>
          <w:rFonts w:asciiTheme="minorHAnsi" w:hAnsiTheme="minorHAnsi" w:cstheme="minorHAnsi"/>
        </w:rPr>
        <w:t>a</w:t>
      </w:r>
      <w:r w:rsidRPr="00B62B35">
        <w:rPr>
          <w:rFonts w:asciiTheme="minorHAnsi" w:hAnsiTheme="minorHAnsi" w:cstheme="minorHAnsi"/>
        </w:rPr>
        <w:t xml:space="preserve"> </w:t>
      </w:r>
      <w:r w:rsidRPr="00A5182D">
        <w:rPr>
          <w:rFonts w:asciiTheme="minorHAnsi" w:hAnsiTheme="minorHAnsi" w:cstheme="minorHAnsi"/>
        </w:rPr>
        <w:t>přání</w:t>
      </w:r>
      <w:r w:rsidRPr="00B62B35">
        <w:rPr>
          <w:rFonts w:asciiTheme="minorHAnsi" w:hAnsiTheme="minorHAnsi" w:cstheme="minorHAnsi"/>
        </w:rPr>
        <w:t xml:space="preserve"> </w:t>
      </w:r>
      <w:r w:rsidRPr="00A5182D">
        <w:rPr>
          <w:rFonts w:asciiTheme="minorHAnsi" w:hAnsiTheme="minorHAnsi" w:cstheme="minorHAnsi"/>
        </w:rPr>
        <w:t xml:space="preserve">uživatelů, nikoli jejich opatrovníků. Případný střet zájmů pak rozhoduje vedoucí </w:t>
      </w:r>
      <w:r w:rsidR="00312E38">
        <w:rPr>
          <w:rFonts w:asciiTheme="minorHAnsi" w:hAnsiTheme="minorHAnsi" w:cstheme="minorHAnsi"/>
        </w:rPr>
        <w:t>DS</w:t>
      </w:r>
      <w:r w:rsidRPr="00A5182D">
        <w:rPr>
          <w:rFonts w:asciiTheme="minorHAnsi" w:hAnsiTheme="minorHAnsi" w:cstheme="minorHAnsi"/>
        </w:rPr>
        <w:t xml:space="preserve">. </w:t>
      </w:r>
    </w:p>
    <w:p w14:paraId="21737F33" w14:textId="77777777" w:rsidR="00A5182D" w:rsidRPr="00A5182D" w:rsidRDefault="00A5182D" w:rsidP="00B62B35">
      <w:pPr>
        <w:pStyle w:val="Zkladntext"/>
        <w:numPr>
          <w:ilvl w:val="0"/>
          <w:numId w:val="1"/>
        </w:numPr>
        <w:tabs>
          <w:tab w:val="clear" w:pos="720"/>
          <w:tab w:val="left" w:pos="482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A5182D">
        <w:rPr>
          <w:rFonts w:asciiTheme="minorHAnsi" w:hAnsiTheme="minorHAnsi" w:cstheme="minorHAnsi"/>
        </w:rPr>
        <w:t xml:space="preserve">Služba </w:t>
      </w:r>
      <w:r w:rsidR="00312E38">
        <w:rPr>
          <w:rFonts w:asciiTheme="minorHAnsi" w:hAnsiTheme="minorHAnsi" w:cstheme="minorHAnsi"/>
        </w:rPr>
        <w:t>DS</w:t>
      </w:r>
      <w:r w:rsidRPr="00A5182D">
        <w:rPr>
          <w:rFonts w:asciiTheme="minorHAnsi" w:hAnsiTheme="minorHAnsi" w:cstheme="minorHAnsi"/>
        </w:rPr>
        <w:t xml:space="preserve"> je poskytována tak, že jsou uživatelé aktivně zapojeni do činností, které jim pomáhají rozvíjet či udržovat jejich schopnosti nebo dovednosti. Proto je potřebné, aby uživatel a jeho pečující osoby spolupracovali s pracovníky </w:t>
      </w:r>
      <w:r w:rsidR="00312E38">
        <w:rPr>
          <w:rFonts w:asciiTheme="minorHAnsi" w:hAnsiTheme="minorHAnsi" w:cstheme="minorHAnsi"/>
        </w:rPr>
        <w:t>DS</w:t>
      </w:r>
      <w:r w:rsidRPr="00A5182D">
        <w:rPr>
          <w:rFonts w:asciiTheme="minorHAnsi" w:hAnsiTheme="minorHAnsi" w:cstheme="minorHAnsi"/>
        </w:rPr>
        <w:t xml:space="preserve"> a společně tak se aktivně podíleli na vytváření, realizaci a hodnocení cílů uživatele. V případě lhostejnosti, nespolupráce nebo při aktivitách jsoucí proti cílům uživatele, nemá další využívání služby </w:t>
      </w:r>
      <w:r w:rsidR="00312E38">
        <w:rPr>
          <w:rFonts w:asciiTheme="minorHAnsi" w:hAnsiTheme="minorHAnsi" w:cstheme="minorHAnsi"/>
        </w:rPr>
        <w:t>DS</w:t>
      </w:r>
      <w:r w:rsidRPr="00A5182D">
        <w:rPr>
          <w:rFonts w:asciiTheme="minorHAnsi" w:hAnsiTheme="minorHAnsi" w:cstheme="minorHAnsi"/>
        </w:rPr>
        <w:t xml:space="preserve"> pro uživatele cíl ani smysl a může být spolupráce ukončena. </w:t>
      </w:r>
    </w:p>
    <w:p w14:paraId="21737F34" w14:textId="77777777" w:rsidR="00A5182D" w:rsidRDefault="00A5182D" w:rsidP="00312E38">
      <w:pPr>
        <w:pStyle w:val="Zkladntext"/>
        <w:numPr>
          <w:ilvl w:val="0"/>
          <w:numId w:val="1"/>
        </w:numPr>
        <w:tabs>
          <w:tab w:val="clear" w:pos="720"/>
          <w:tab w:val="left" w:pos="482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A5182D">
        <w:rPr>
          <w:rFonts w:asciiTheme="minorHAnsi" w:hAnsiTheme="minorHAnsi" w:cstheme="minorHAnsi"/>
        </w:rPr>
        <w:t xml:space="preserve">Zdravotní a psychický stav uživatelů musí být do té míry kompenzovaný, že uživateli umožňuje v daném </w:t>
      </w:r>
      <w:r w:rsidR="000A2370">
        <w:rPr>
          <w:rFonts w:asciiTheme="minorHAnsi" w:hAnsiTheme="minorHAnsi" w:cstheme="minorHAnsi"/>
        </w:rPr>
        <w:t xml:space="preserve">denním režimu </w:t>
      </w:r>
      <w:r w:rsidRPr="00A5182D">
        <w:rPr>
          <w:rFonts w:asciiTheme="minorHAnsi" w:hAnsiTheme="minorHAnsi" w:cstheme="minorHAnsi"/>
        </w:rPr>
        <w:t>bezpečné využívání služby a odpovídá možnostem zařízení. Uživatel tedy nesmí být nebezpečný sobě, ani svému okolí (zejména uživatelé s</w:t>
      </w:r>
      <w:r w:rsidR="000A2370">
        <w:rPr>
          <w:rFonts w:asciiTheme="minorHAnsi" w:hAnsiTheme="minorHAnsi" w:cstheme="minorHAnsi"/>
        </w:rPr>
        <w:t> psychickými potížemi</w:t>
      </w:r>
      <w:r w:rsidRPr="00A5182D">
        <w:rPr>
          <w:rFonts w:asciiTheme="minorHAnsi" w:hAnsiTheme="minorHAnsi" w:cstheme="minorHAnsi"/>
        </w:rPr>
        <w:t xml:space="preserve">). </w:t>
      </w:r>
      <w:r w:rsidR="001A3C3C">
        <w:rPr>
          <w:rFonts w:asciiTheme="minorHAnsi" w:hAnsiTheme="minorHAnsi" w:cstheme="minorHAnsi"/>
        </w:rPr>
        <w:t xml:space="preserve">Jedná se také o viditelné příznaky infekčního onemocnění. </w:t>
      </w:r>
    </w:p>
    <w:p w14:paraId="21737F35" w14:textId="77777777" w:rsidR="000A2370" w:rsidRPr="00A5182D" w:rsidRDefault="000A2370" w:rsidP="00312E38">
      <w:pPr>
        <w:pStyle w:val="Zkladntext"/>
        <w:numPr>
          <w:ilvl w:val="0"/>
          <w:numId w:val="1"/>
        </w:numPr>
        <w:tabs>
          <w:tab w:val="clear" w:pos="720"/>
          <w:tab w:val="left" w:pos="4820"/>
        </w:tabs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se zdravotní stav uživatele výrazně změní, např. dojde ke změně fyzických schopností a dovedností nebo ke změně psychického stavu, která narušuje pravidla a chod sociální služby, je možné uživateli dočasně přerušit poskytování sociální služby. </w:t>
      </w:r>
    </w:p>
    <w:p w14:paraId="21737F36" w14:textId="77777777" w:rsidR="00A5182D" w:rsidRDefault="00F55B23" w:rsidP="00F55B23">
      <w:pPr>
        <w:pStyle w:val="Zkladntext"/>
        <w:numPr>
          <w:ilvl w:val="0"/>
          <w:numId w:val="1"/>
        </w:numPr>
        <w:tabs>
          <w:tab w:val="clear" w:pos="720"/>
          <w:tab w:val="left" w:pos="482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55B23">
        <w:rPr>
          <w:rFonts w:asciiTheme="minorHAnsi" w:hAnsiTheme="minorHAnsi" w:cstheme="minorHAnsi"/>
        </w:rPr>
        <w:t>Pokud v průběhu poskytování služby DS uživatel přestane spadat do cílové skupiny</w:t>
      </w:r>
      <w:r>
        <w:rPr>
          <w:rFonts w:asciiTheme="minorHAnsi" w:hAnsiTheme="minorHAnsi" w:cstheme="minorHAnsi"/>
        </w:rPr>
        <w:t>,</w:t>
      </w:r>
      <w:r w:rsidR="00A5182D" w:rsidRPr="00A5182D">
        <w:rPr>
          <w:rFonts w:asciiTheme="minorHAnsi" w:hAnsiTheme="minorHAnsi" w:cstheme="minorHAnsi"/>
        </w:rPr>
        <w:t xml:space="preserve"> které je naše služba určena a to i s ohledem na jeho stanovené cíle, je uživatel a jeho zástupce s dostatečným předstihem informován o možnosti ukončení služby. Uživateli a jeho zástupci je pak nabídnuto základní sociální poradenství pro nalezení vhodnější sociální služby nebo jiné podpory pro zvládání jeho aktuální situace. </w:t>
      </w:r>
    </w:p>
    <w:p w14:paraId="21737F37" w14:textId="77777777" w:rsidR="000A2370" w:rsidRPr="001A3C3C" w:rsidRDefault="008D1F36" w:rsidP="00B62B35">
      <w:pPr>
        <w:pStyle w:val="Zkladntext"/>
        <w:numPr>
          <w:ilvl w:val="0"/>
          <w:numId w:val="1"/>
        </w:numPr>
        <w:tabs>
          <w:tab w:val="clear" w:pos="720"/>
          <w:tab w:val="left" w:pos="4820"/>
        </w:tabs>
        <w:spacing w:after="0"/>
        <w:ind w:left="0"/>
        <w:jc w:val="both"/>
        <w:rPr>
          <w:rFonts w:cstheme="minorHAnsi"/>
        </w:rPr>
      </w:pPr>
      <w:r w:rsidRPr="001A3C3C">
        <w:rPr>
          <w:rFonts w:asciiTheme="minorHAnsi" w:hAnsiTheme="minorHAnsi" w:cstheme="minorHAnsi"/>
        </w:rPr>
        <w:t xml:space="preserve">Uživatel nebo jeho zástupce (opatrovník) je povinen sdělit pracovníkům DS všechny informace, které mají vliv na poskytování služby a to zejména na zajištění bezpečí a zdraví uživatele nebo ostatních uživatelů. Jedná se </w:t>
      </w:r>
      <w:r w:rsidR="001A3C3C" w:rsidRPr="001A3C3C">
        <w:rPr>
          <w:rFonts w:asciiTheme="minorHAnsi" w:hAnsiTheme="minorHAnsi" w:cstheme="minorHAnsi"/>
        </w:rPr>
        <w:t xml:space="preserve">zejména o změny </w:t>
      </w:r>
      <w:r w:rsidRPr="001A3C3C">
        <w:rPr>
          <w:rFonts w:asciiTheme="minorHAnsi" w:hAnsiTheme="minorHAnsi" w:cstheme="minorHAnsi"/>
        </w:rPr>
        <w:t xml:space="preserve">týkající se </w:t>
      </w:r>
      <w:r w:rsidR="001A3C3C" w:rsidRPr="001A3C3C">
        <w:rPr>
          <w:rFonts w:asciiTheme="minorHAnsi" w:hAnsiTheme="minorHAnsi" w:cstheme="minorHAnsi"/>
        </w:rPr>
        <w:t xml:space="preserve">zdravotního stavu uživatele, například obtíže se </w:t>
      </w:r>
      <w:r w:rsidRPr="001A3C3C">
        <w:rPr>
          <w:rFonts w:asciiTheme="minorHAnsi" w:hAnsiTheme="minorHAnsi" w:cstheme="minorHAnsi"/>
        </w:rPr>
        <w:t>srdce</w:t>
      </w:r>
      <w:r w:rsidR="001A3C3C" w:rsidRPr="001A3C3C">
        <w:rPr>
          <w:rFonts w:asciiTheme="minorHAnsi" w:hAnsiTheme="minorHAnsi" w:cstheme="minorHAnsi"/>
        </w:rPr>
        <w:t>m</w:t>
      </w:r>
      <w:r w:rsidRPr="001A3C3C">
        <w:rPr>
          <w:rFonts w:asciiTheme="minorHAnsi" w:hAnsiTheme="minorHAnsi" w:cstheme="minorHAnsi"/>
        </w:rPr>
        <w:t xml:space="preserve"> a oběhov</w:t>
      </w:r>
      <w:r w:rsidR="001A3C3C" w:rsidRPr="001A3C3C">
        <w:rPr>
          <w:rFonts w:asciiTheme="minorHAnsi" w:hAnsiTheme="minorHAnsi" w:cstheme="minorHAnsi"/>
        </w:rPr>
        <w:t>ým systémem</w:t>
      </w:r>
      <w:r w:rsidRPr="001A3C3C">
        <w:rPr>
          <w:rFonts w:asciiTheme="minorHAnsi" w:hAnsiTheme="minorHAnsi" w:cstheme="minorHAnsi"/>
        </w:rPr>
        <w:t xml:space="preserve"> v případě </w:t>
      </w:r>
      <w:r w:rsidR="001A3C3C" w:rsidRPr="001A3C3C">
        <w:rPr>
          <w:rFonts w:asciiTheme="minorHAnsi" w:hAnsiTheme="minorHAnsi" w:cstheme="minorHAnsi"/>
        </w:rPr>
        <w:t>námahy, apod</w:t>
      </w:r>
      <w:r w:rsidRPr="001A3C3C">
        <w:rPr>
          <w:rFonts w:asciiTheme="minorHAnsi" w:hAnsiTheme="minorHAnsi" w:cstheme="minorHAnsi"/>
        </w:rPr>
        <w:t xml:space="preserve">. Pokud dojde ke zjištění, že uživatel nebo jeho zástupce (opatrovník) </w:t>
      </w:r>
      <w:r w:rsidR="001A3C3C">
        <w:rPr>
          <w:rFonts w:asciiTheme="minorHAnsi" w:hAnsiTheme="minorHAnsi" w:cstheme="minorHAnsi"/>
        </w:rPr>
        <w:t>zatajili nebo nesdělili tyto důležité informace, je Poskytovatel oprávněn dočasně přerušit nebo</w:t>
      </w:r>
      <w:r w:rsidR="00B62B35">
        <w:rPr>
          <w:rFonts w:asciiTheme="minorHAnsi" w:hAnsiTheme="minorHAnsi" w:cstheme="minorHAnsi"/>
        </w:rPr>
        <w:t xml:space="preserve"> až</w:t>
      </w:r>
      <w:r w:rsidR="001A3C3C">
        <w:rPr>
          <w:rFonts w:asciiTheme="minorHAnsi" w:hAnsiTheme="minorHAnsi" w:cstheme="minorHAnsi"/>
        </w:rPr>
        <w:t xml:space="preserve"> ukončit poskytování sociální služby denního stacionáře.  </w:t>
      </w:r>
      <w:r w:rsidR="000A2370" w:rsidRPr="001A3C3C">
        <w:rPr>
          <w:rFonts w:asciiTheme="minorHAnsi" w:hAnsiTheme="minorHAnsi" w:cstheme="minorHAnsi"/>
        </w:rPr>
        <w:br w:type="page"/>
      </w:r>
    </w:p>
    <w:p w14:paraId="21737F38" w14:textId="37D4B511" w:rsidR="00A5182D" w:rsidRPr="000A2370" w:rsidRDefault="00A5182D" w:rsidP="00312E38">
      <w:pPr>
        <w:pStyle w:val="Zkladntext"/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  <w:b/>
          <w:bCs/>
          <w:sz w:val="28"/>
        </w:rPr>
      </w:pPr>
      <w:r w:rsidRPr="000A2370">
        <w:rPr>
          <w:rFonts w:asciiTheme="minorHAnsi" w:hAnsiTheme="minorHAnsi" w:cstheme="minorHAnsi"/>
          <w:b/>
          <w:bCs/>
          <w:sz w:val="28"/>
        </w:rPr>
        <w:lastRenderedPageBreak/>
        <w:t>Ceník</w:t>
      </w:r>
      <w:r w:rsidRPr="000A2370">
        <w:rPr>
          <w:rFonts w:asciiTheme="minorHAnsi" w:eastAsia="Times New Roman" w:hAnsiTheme="minorHAnsi" w:cstheme="minorHAnsi"/>
          <w:b/>
          <w:bCs/>
          <w:sz w:val="28"/>
        </w:rPr>
        <w:t xml:space="preserve"> </w:t>
      </w:r>
      <w:r w:rsidRPr="000A2370">
        <w:rPr>
          <w:rFonts w:asciiTheme="minorHAnsi" w:hAnsiTheme="minorHAnsi" w:cstheme="minorHAnsi"/>
          <w:b/>
          <w:bCs/>
          <w:sz w:val="28"/>
        </w:rPr>
        <w:t>služeb</w:t>
      </w:r>
      <w:r w:rsidRPr="000A2370">
        <w:rPr>
          <w:rFonts w:asciiTheme="minorHAnsi" w:eastAsia="Times New Roman" w:hAnsiTheme="minorHAnsi" w:cstheme="minorHAnsi"/>
          <w:b/>
          <w:bCs/>
          <w:sz w:val="28"/>
        </w:rPr>
        <w:t xml:space="preserve"> </w:t>
      </w:r>
      <w:r w:rsidR="00312E38" w:rsidRPr="000A2370">
        <w:rPr>
          <w:rFonts w:asciiTheme="minorHAnsi" w:hAnsiTheme="minorHAnsi" w:cstheme="minorHAnsi"/>
          <w:b/>
          <w:bCs/>
          <w:sz w:val="28"/>
        </w:rPr>
        <w:t>DS</w:t>
      </w:r>
      <w:r w:rsidR="00FC0F83">
        <w:rPr>
          <w:rFonts w:asciiTheme="minorHAnsi" w:hAnsiTheme="minorHAnsi" w:cstheme="minorHAnsi"/>
          <w:b/>
          <w:bCs/>
          <w:sz w:val="28"/>
        </w:rPr>
        <w:t xml:space="preserve"> platný od 1. 1. 2025</w:t>
      </w:r>
      <w:r w:rsidRPr="000A2370">
        <w:rPr>
          <w:rFonts w:asciiTheme="minorHAnsi" w:hAnsiTheme="minorHAnsi" w:cstheme="minorHAnsi"/>
          <w:b/>
          <w:bCs/>
          <w:sz w:val="28"/>
        </w:rPr>
        <w:t>:</w:t>
      </w:r>
    </w:p>
    <w:tbl>
      <w:tblPr>
        <w:tblW w:w="980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078"/>
        <w:gridCol w:w="4726"/>
      </w:tblGrid>
      <w:tr w:rsidR="00A5182D" w:rsidRPr="00A5182D" w14:paraId="21737F3B" w14:textId="77777777" w:rsidTr="00312E38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F39" w14:textId="77777777" w:rsidR="00A5182D" w:rsidRPr="00A5182D" w:rsidRDefault="00A5182D" w:rsidP="00312E38">
            <w:pPr>
              <w:jc w:val="both"/>
              <w:rPr>
                <w:rFonts w:eastAsia="Times New Roman" w:cstheme="minorHAnsi"/>
                <w:szCs w:val="24"/>
              </w:rPr>
            </w:pPr>
            <w:r w:rsidRPr="00A5182D">
              <w:rPr>
                <w:rFonts w:eastAsia="Times New Roman" w:cstheme="minorHAnsi"/>
                <w:b/>
                <w:szCs w:val="24"/>
              </w:rPr>
              <w:t xml:space="preserve">1Z </w:t>
            </w:r>
            <w:r w:rsidR="00312E38">
              <w:rPr>
                <w:rFonts w:eastAsia="Times New Roman" w:cstheme="minorHAnsi"/>
                <w:b/>
                <w:szCs w:val="24"/>
              </w:rPr>
              <w:t xml:space="preserve">ÚHRADA za službu – </w:t>
            </w:r>
            <w:r w:rsidR="00312E38" w:rsidRPr="00312E38">
              <w:rPr>
                <w:rFonts w:eastAsia="Times New Roman" w:cstheme="minorHAnsi"/>
                <w:szCs w:val="24"/>
              </w:rPr>
              <w:t>0 + 1. stupeň závislosti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F3A" w14:textId="77777777" w:rsidR="00A5182D" w:rsidRPr="000428AE" w:rsidRDefault="00312E38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 w:rsidRPr="000428AE">
              <w:rPr>
                <w:rFonts w:eastAsia="Times New Roman" w:cstheme="minorHAnsi"/>
                <w:b/>
                <w:szCs w:val="24"/>
              </w:rPr>
              <w:t xml:space="preserve">18,- </w:t>
            </w:r>
            <w:r w:rsidR="00A5182D" w:rsidRPr="000428AE">
              <w:rPr>
                <w:rFonts w:eastAsia="Times New Roman" w:cstheme="minorHAnsi"/>
                <w:b/>
                <w:szCs w:val="24"/>
              </w:rPr>
              <w:t>Kč/hodinu</w:t>
            </w:r>
          </w:p>
        </w:tc>
      </w:tr>
      <w:tr w:rsidR="00312E38" w:rsidRPr="00A5182D" w14:paraId="21737F3E" w14:textId="77777777" w:rsidTr="00312E38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F3C" w14:textId="77777777" w:rsidR="00312E38" w:rsidRPr="00A5182D" w:rsidRDefault="00312E38" w:rsidP="00312E38">
            <w:pPr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 xml:space="preserve">2Z ÚHRADA za službu – </w:t>
            </w:r>
            <w:r w:rsidRPr="00312E38">
              <w:rPr>
                <w:rFonts w:eastAsia="Times New Roman" w:cstheme="minorHAnsi"/>
                <w:szCs w:val="24"/>
              </w:rPr>
              <w:t>2.</w:t>
            </w:r>
            <w:r>
              <w:rPr>
                <w:rFonts w:eastAsia="Times New Roman" w:cstheme="minorHAnsi"/>
                <w:szCs w:val="24"/>
              </w:rPr>
              <w:t xml:space="preserve"> stupeň závislosti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F3D" w14:textId="77777777" w:rsidR="00312E38" w:rsidRPr="000428AE" w:rsidRDefault="00312E38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 w:rsidRPr="000428AE">
              <w:rPr>
                <w:rFonts w:eastAsia="Times New Roman" w:cstheme="minorHAnsi"/>
                <w:b/>
                <w:szCs w:val="24"/>
              </w:rPr>
              <w:t>44,- Kč/hodinu</w:t>
            </w:r>
          </w:p>
        </w:tc>
      </w:tr>
      <w:tr w:rsidR="00312E38" w:rsidRPr="00A5182D" w14:paraId="21737F41" w14:textId="77777777" w:rsidTr="00312E38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F3F" w14:textId="77777777" w:rsidR="00312E38" w:rsidRDefault="00312E38" w:rsidP="00312E38">
            <w:pPr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 xml:space="preserve">3Z ÚHRADA za službu – </w:t>
            </w:r>
            <w:r>
              <w:rPr>
                <w:rFonts w:eastAsia="Times New Roman" w:cstheme="minorHAnsi"/>
                <w:szCs w:val="24"/>
              </w:rPr>
              <w:t>3</w:t>
            </w:r>
            <w:r w:rsidRPr="00312E38">
              <w:rPr>
                <w:rFonts w:eastAsia="Times New Roman" w:cstheme="minorHAnsi"/>
                <w:szCs w:val="24"/>
              </w:rPr>
              <w:t>.</w:t>
            </w:r>
            <w:r>
              <w:rPr>
                <w:rFonts w:eastAsia="Times New Roman" w:cstheme="minorHAnsi"/>
                <w:szCs w:val="24"/>
              </w:rPr>
              <w:t xml:space="preserve"> stupeň závislosti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F40" w14:textId="77777777" w:rsidR="00312E38" w:rsidRPr="000428AE" w:rsidRDefault="00392B3D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9</w:t>
            </w:r>
            <w:r w:rsidR="00312E38" w:rsidRPr="000428AE">
              <w:rPr>
                <w:rFonts w:eastAsia="Times New Roman" w:cstheme="minorHAnsi"/>
                <w:b/>
                <w:szCs w:val="24"/>
              </w:rPr>
              <w:t>9,- Kč/hodinu</w:t>
            </w:r>
          </w:p>
        </w:tc>
      </w:tr>
      <w:tr w:rsidR="00312E38" w:rsidRPr="00A5182D" w14:paraId="21737F45" w14:textId="77777777" w:rsidTr="00312E38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F42" w14:textId="77777777" w:rsidR="00B62B35" w:rsidRDefault="00312E38" w:rsidP="00312E38">
            <w:pPr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 xml:space="preserve">4Z ÚHRADA za službu – </w:t>
            </w:r>
            <w:r>
              <w:rPr>
                <w:rFonts w:eastAsia="Times New Roman" w:cstheme="minorHAnsi"/>
                <w:szCs w:val="24"/>
              </w:rPr>
              <w:t>4</w:t>
            </w:r>
            <w:r w:rsidR="00392B3D">
              <w:rPr>
                <w:rFonts w:eastAsia="Times New Roman" w:cstheme="minorHAnsi"/>
                <w:szCs w:val="24"/>
              </w:rPr>
              <w:t>+</w:t>
            </w:r>
            <w:r w:rsidRPr="00312E38">
              <w:rPr>
                <w:rFonts w:eastAsia="Times New Roman" w:cstheme="minorHAnsi"/>
                <w:szCs w:val="24"/>
              </w:rPr>
              <w:t>.</w:t>
            </w:r>
            <w:r>
              <w:rPr>
                <w:rFonts w:eastAsia="Times New Roman" w:cstheme="minorHAnsi"/>
                <w:szCs w:val="24"/>
              </w:rPr>
              <w:t xml:space="preserve"> stupeň závislosti</w:t>
            </w:r>
            <w:r w:rsidR="00B62B35">
              <w:rPr>
                <w:rFonts w:eastAsia="Times New Roman" w:cstheme="minorHAnsi"/>
                <w:szCs w:val="24"/>
              </w:rPr>
              <w:t xml:space="preserve">  </w:t>
            </w:r>
          </w:p>
          <w:p w14:paraId="21737F43" w14:textId="77777777" w:rsidR="00312E38" w:rsidRDefault="00B62B35" w:rsidP="00312E38">
            <w:pPr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+ uživatel</w:t>
            </w:r>
            <w:r w:rsidR="000428AE">
              <w:rPr>
                <w:rFonts w:eastAsia="Times New Roman" w:cstheme="minorHAnsi"/>
                <w:szCs w:val="24"/>
              </w:rPr>
              <w:t xml:space="preserve"> vyžadující zvýšenou péči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F44" w14:textId="77777777" w:rsidR="00312E38" w:rsidRPr="000428AE" w:rsidRDefault="00392B3D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149</w:t>
            </w:r>
            <w:r w:rsidR="00312E38" w:rsidRPr="000428AE">
              <w:rPr>
                <w:rFonts w:eastAsia="Times New Roman" w:cstheme="minorHAnsi"/>
                <w:b/>
                <w:szCs w:val="24"/>
              </w:rPr>
              <w:t>,- Kč/hodinu</w:t>
            </w:r>
          </w:p>
        </w:tc>
      </w:tr>
      <w:tr w:rsidR="00A5182D" w:rsidRPr="00A5182D" w14:paraId="21737F48" w14:textId="77777777" w:rsidTr="00312E38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F46" w14:textId="77777777" w:rsidR="00A5182D" w:rsidRPr="00A5182D" w:rsidRDefault="00312E38" w:rsidP="00312E38">
            <w:pPr>
              <w:snapToGrid w:val="0"/>
              <w:jc w:val="both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5</w:t>
            </w:r>
            <w:r w:rsidR="00A5182D" w:rsidRPr="00A5182D">
              <w:rPr>
                <w:rFonts w:eastAsia="Times New Roman" w:cstheme="minorHAnsi"/>
                <w:b/>
                <w:szCs w:val="24"/>
              </w:rPr>
              <w:t>Z OBĚD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F47" w14:textId="49362DB7" w:rsidR="00A5182D" w:rsidRPr="00A5182D" w:rsidRDefault="00673EAD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100</w:t>
            </w:r>
            <w:r w:rsidR="00A5182D" w:rsidRPr="00A5182D">
              <w:rPr>
                <w:rFonts w:eastAsia="Times New Roman" w:cstheme="minorHAnsi"/>
                <w:b/>
                <w:szCs w:val="24"/>
              </w:rPr>
              <w:t>,-- Kč</w:t>
            </w:r>
          </w:p>
        </w:tc>
      </w:tr>
      <w:tr w:rsidR="00A5182D" w:rsidRPr="00A5182D" w14:paraId="21737F4B" w14:textId="77777777" w:rsidTr="00312E38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F49" w14:textId="77777777" w:rsidR="00A5182D" w:rsidRPr="00A5182D" w:rsidRDefault="00A5182D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 w:rsidRPr="00A5182D">
              <w:rPr>
                <w:rFonts w:eastAsia="Times New Roman" w:cstheme="minorHAnsi"/>
                <w:b/>
                <w:szCs w:val="24"/>
              </w:rPr>
              <w:t>1F DOPRAVA vozem FCH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F4A" w14:textId="77777777" w:rsidR="00A5182D" w:rsidRPr="00A5182D" w:rsidRDefault="00A5182D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 w:rsidRPr="00A5182D">
              <w:rPr>
                <w:rFonts w:eastAsia="Times New Roman" w:cstheme="minorHAnsi"/>
                <w:b/>
                <w:szCs w:val="24"/>
              </w:rPr>
              <w:t>6,-- Kč/km</w:t>
            </w:r>
          </w:p>
        </w:tc>
      </w:tr>
      <w:tr w:rsidR="00A5182D" w:rsidRPr="00A5182D" w14:paraId="21737F4E" w14:textId="77777777" w:rsidTr="00312E38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F4C" w14:textId="77777777" w:rsidR="00A5182D" w:rsidRPr="00A5182D" w:rsidRDefault="00A5182D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 w:rsidRPr="00A5182D">
              <w:rPr>
                <w:rFonts w:eastAsia="Times New Roman" w:cstheme="minorHAnsi"/>
                <w:b/>
                <w:szCs w:val="24"/>
              </w:rPr>
              <w:t>2F ZAPŮJČENÍ ZDRAVOT. POMŮCKY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F4D" w14:textId="77777777" w:rsidR="00A5182D" w:rsidRPr="00A5182D" w:rsidRDefault="00A5182D" w:rsidP="000428AE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 w:rsidRPr="00A5182D">
              <w:rPr>
                <w:rFonts w:eastAsia="Times New Roman" w:cstheme="minorHAnsi"/>
                <w:b/>
                <w:szCs w:val="24"/>
              </w:rPr>
              <w:t xml:space="preserve">5,-- až </w:t>
            </w:r>
            <w:r w:rsidR="00951B76">
              <w:rPr>
                <w:rFonts w:eastAsia="Times New Roman" w:cstheme="minorHAnsi"/>
                <w:b/>
                <w:szCs w:val="24"/>
              </w:rPr>
              <w:t>19</w:t>
            </w:r>
            <w:r w:rsidR="000428AE">
              <w:rPr>
                <w:rFonts w:eastAsia="Times New Roman" w:cstheme="minorHAnsi"/>
                <w:b/>
                <w:szCs w:val="24"/>
              </w:rPr>
              <w:t>0</w:t>
            </w:r>
            <w:r w:rsidRPr="00A5182D">
              <w:rPr>
                <w:rFonts w:eastAsia="Times New Roman" w:cstheme="minorHAnsi"/>
                <w:b/>
                <w:szCs w:val="24"/>
              </w:rPr>
              <w:t xml:space="preserve">,-- Kč/den dle specifikace </w:t>
            </w:r>
          </w:p>
        </w:tc>
      </w:tr>
      <w:tr w:rsidR="00312E38" w:rsidRPr="00A5182D" w14:paraId="21737F51" w14:textId="77777777" w:rsidTr="00312E38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F4F" w14:textId="77777777" w:rsidR="00312E38" w:rsidRPr="00A5182D" w:rsidRDefault="00312E38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3F Ergoterapie – potraviny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F50" w14:textId="77777777" w:rsidR="00312E38" w:rsidRPr="00A5182D" w:rsidRDefault="00312E38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b/>
              </w:rPr>
              <w:t>Celkovou cenu</w:t>
            </w:r>
            <w:r>
              <w:t xml:space="preserve"> vydělíme </w:t>
            </w:r>
            <w:r>
              <w:rPr>
                <w:b/>
              </w:rPr>
              <w:t>počtem uživatelů podílejících se na přípravě a konzumaci pokrmů</w:t>
            </w:r>
            <w:r>
              <w:t xml:space="preserve"> = výsledná cena na jednoho uživatele</w:t>
            </w:r>
          </w:p>
        </w:tc>
      </w:tr>
      <w:tr w:rsidR="00312E38" w:rsidRPr="00A5182D" w14:paraId="21737F54" w14:textId="77777777" w:rsidTr="00312E38"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7F52" w14:textId="77777777" w:rsidR="00312E38" w:rsidRPr="00A5182D" w:rsidRDefault="00312E38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4F Doprava na plavání, hippoterapii či výlety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7F53" w14:textId="77777777" w:rsidR="00312E38" w:rsidRPr="00A5182D" w:rsidRDefault="00312E38" w:rsidP="00312E38">
            <w:pPr>
              <w:snapToGrid w:val="0"/>
              <w:jc w:val="both"/>
              <w:rPr>
                <w:rFonts w:eastAsia="Times New Roman" w:cstheme="minorHAnsi"/>
                <w:b/>
                <w:szCs w:val="24"/>
              </w:rPr>
            </w:pPr>
            <w:r>
              <w:t xml:space="preserve">Viz ceník dopravce. Výpočet se provádí tak, že </w:t>
            </w:r>
            <w:r>
              <w:rPr>
                <w:b/>
              </w:rPr>
              <w:t xml:space="preserve">celkovou cenu </w:t>
            </w:r>
            <w:r>
              <w:t xml:space="preserve">vydělíme </w:t>
            </w:r>
            <w:r>
              <w:rPr>
                <w:b/>
              </w:rPr>
              <w:t xml:space="preserve">počtem přepravovaných klientů </w:t>
            </w:r>
            <w:r>
              <w:t>= výsledná cena dopravy na jednoho uživatele</w:t>
            </w:r>
          </w:p>
        </w:tc>
      </w:tr>
    </w:tbl>
    <w:p w14:paraId="21737F55" w14:textId="77777777" w:rsidR="00312E38" w:rsidRPr="00312E38" w:rsidRDefault="00312E38" w:rsidP="00B62B35">
      <w:pPr>
        <w:ind w:left="0"/>
        <w:rPr>
          <w:b/>
          <w:i/>
        </w:rPr>
      </w:pPr>
      <w:r w:rsidRPr="00312E38">
        <w:rPr>
          <w:b/>
          <w:i/>
        </w:rPr>
        <w:t xml:space="preserve">Pozn.: </w:t>
      </w:r>
    </w:p>
    <w:p w14:paraId="21737F56" w14:textId="77777777" w:rsidR="00312E38" w:rsidRPr="00312E38" w:rsidRDefault="00312E38" w:rsidP="00B62B35">
      <w:pPr>
        <w:ind w:left="0"/>
        <w:jc w:val="both"/>
        <w:rPr>
          <w:i/>
        </w:rPr>
      </w:pPr>
      <w:r w:rsidRPr="00312E38">
        <w:rPr>
          <w:i/>
        </w:rPr>
        <w:t xml:space="preserve">1) Základní činnosti jsou označeny 1-5 Z, fakultativní činnosti jsou označeny 1-4 F. </w:t>
      </w:r>
    </w:p>
    <w:p w14:paraId="49533950" w14:textId="1EB49885" w:rsidR="00E16B78" w:rsidRDefault="00E16B78" w:rsidP="00B62B35">
      <w:pPr>
        <w:ind w:left="0"/>
        <w:jc w:val="both"/>
        <w:rPr>
          <w:i/>
        </w:rPr>
      </w:pPr>
      <w:r>
        <w:rPr>
          <w:i/>
        </w:rPr>
        <w:t xml:space="preserve">2) </w:t>
      </w:r>
      <w:r w:rsidRPr="00E16B78">
        <w:rPr>
          <w:b/>
          <w:i/>
        </w:rPr>
        <w:t>Uživatel hradí za služby (docházku) pouze prvních 50 hodin měsíčně. Všechny další hodiny využití služby jsou pro uživatele našich služeb zdarma</w:t>
      </w:r>
      <w:r>
        <w:rPr>
          <w:i/>
        </w:rPr>
        <w:t>.</w:t>
      </w:r>
      <w:bookmarkStart w:id="0" w:name="_GoBack"/>
      <w:bookmarkEnd w:id="0"/>
    </w:p>
    <w:p w14:paraId="21737F57" w14:textId="31ED3DF5" w:rsidR="00312E38" w:rsidRPr="00312E38" w:rsidRDefault="00E16B78" w:rsidP="00B62B35">
      <w:pPr>
        <w:ind w:left="0"/>
        <w:jc w:val="both"/>
        <w:rPr>
          <w:i/>
        </w:rPr>
      </w:pPr>
      <w:r>
        <w:rPr>
          <w:i/>
        </w:rPr>
        <w:t>3</w:t>
      </w:r>
      <w:r w:rsidR="00312E38" w:rsidRPr="00312E38">
        <w:rPr>
          <w:i/>
        </w:rPr>
        <w:t>) Ceník se průběžně aktualizuje a případné změny jsou vždy</w:t>
      </w:r>
      <w:r w:rsidR="00312E38">
        <w:rPr>
          <w:i/>
        </w:rPr>
        <w:t xml:space="preserve"> uživateli či jeho smluvnímu </w:t>
      </w:r>
      <w:r w:rsidR="00312E38" w:rsidRPr="00312E38">
        <w:rPr>
          <w:i/>
        </w:rPr>
        <w:t>zástupci v čas dány na vědomí</w:t>
      </w:r>
      <w:r w:rsidR="00312E38">
        <w:rPr>
          <w:i/>
        </w:rPr>
        <w:t xml:space="preserve">. </w:t>
      </w:r>
    </w:p>
    <w:p w14:paraId="21737F58" w14:textId="49164441" w:rsidR="000428AE" w:rsidRDefault="00E16B78" w:rsidP="00B62B35">
      <w:pPr>
        <w:ind w:left="0"/>
        <w:jc w:val="both"/>
      </w:pPr>
      <w:r>
        <w:t>4</w:t>
      </w:r>
      <w:r w:rsidR="00312E38" w:rsidRPr="000428AE">
        <w:t xml:space="preserve">) </w:t>
      </w:r>
      <w:r w:rsidR="000428AE">
        <w:t>Uživatelé ve 4. stupni závislosti a uživatelé vyžadující zvýšenou péči jsou osoby, které:</w:t>
      </w:r>
    </w:p>
    <w:p w14:paraId="21737F59" w14:textId="77777777" w:rsidR="00312E38" w:rsidRPr="000428AE" w:rsidRDefault="00312E38" w:rsidP="00B62B35">
      <w:pPr>
        <w:ind w:left="0"/>
        <w:jc w:val="both"/>
      </w:pPr>
      <w:r w:rsidRPr="000428AE">
        <w:t>- nejsou pro svůj handicap schopny samostatného pohybu</w:t>
      </w:r>
    </w:p>
    <w:p w14:paraId="21737F5A" w14:textId="77777777" w:rsidR="00312E38" w:rsidRPr="000428AE" w:rsidRDefault="00312E38" w:rsidP="00B62B35">
      <w:pPr>
        <w:ind w:left="0"/>
        <w:jc w:val="both"/>
      </w:pPr>
      <w:r w:rsidRPr="000428AE">
        <w:t xml:space="preserve">- vyžadují neustálou a nepřetržitou individuální péči jednoho ze zaměstnanců oddělení </w:t>
      </w:r>
    </w:p>
    <w:p w14:paraId="21737F5B" w14:textId="77777777" w:rsidR="00312E38" w:rsidRPr="000428AE" w:rsidRDefault="00312E38" w:rsidP="00B62B35">
      <w:pPr>
        <w:ind w:left="0"/>
        <w:jc w:val="both"/>
      </w:pPr>
      <w:r w:rsidRPr="000428AE">
        <w:t>- nedocházejí do stacionáře natolik pravidelně, aby bylo možné zařadit j</w:t>
      </w:r>
      <w:r w:rsidR="000428AE">
        <w:t xml:space="preserve">e do běžného režimu zařízení a </w:t>
      </w:r>
      <w:r w:rsidRPr="000428AE">
        <w:t xml:space="preserve">připravovaného harmonogramu činností a vyžadují tedy individuální program                  </w:t>
      </w:r>
    </w:p>
    <w:p w14:paraId="21737F5C" w14:textId="77777777" w:rsidR="00C769FE" w:rsidRPr="00A5182D" w:rsidRDefault="00C769FE" w:rsidP="00312E38">
      <w:pPr>
        <w:jc w:val="both"/>
        <w:rPr>
          <w:szCs w:val="24"/>
        </w:rPr>
      </w:pPr>
    </w:p>
    <w:sectPr w:rsidR="00C769FE" w:rsidRPr="00A5182D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37F63" w14:textId="77777777" w:rsidR="00695314" w:rsidRDefault="00695314" w:rsidP="0039352C">
      <w:r>
        <w:separator/>
      </w:r>
    </w:p>
  </w:endnote>
  <w:endnote w:type="continuationSeparator" w:id="0">
    <w:p w14:paraId="21737F64" w14:textId="77777777" w:rsidR="00695314" w:rsidRDefault="00695314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7F66" w14:textId="77777777"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737F6A" wp14:editId="21737F6B">
              <wp:simplePos x="0" y="0"/>
              <wp:positionH relativeFrom="column">
                <wp:posOffset>3548380</wp:posOffset>
              </wp:positionH>
              <wp:positionV relativeFrom="paragraph">
                <wp:posOffset>-138430</wp:posOffset>
              </wp:positionV>
              <wp:extent cx="2603500" cy="655955"/>
              <wp:effectExtent l="0" t="0" r="6350" b="0"/>
              <wp:wrapTight wrapText="bothSides">
                <wp:wrapPolygon edited="0">
                  <wp:start x="0" y="0"/>
                  <wp:lineTo x="0" y="20701"/>
                  <wp:lineTo x="21495" y="20701"/>
                  <wp:lineTo x="2149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0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737F72" w14:textId="77777777" w:rsidR="009D3D98" w:rsidRDefault="009D3D98" w:rsidP="00871E2D">
                          <w:pPr>
                            <w:rPr>
                              <w:iCs/>
                              <w:sz w:val="22"/>
                            </w:rPr>
                          </w:pPr>
                          <w:r w:rsidRPr="00F97D53">
                            <w:rPr>
                              <w:iCs/>
                              <w:sz w:val="22"/>
                            </w:rPr>
                            <w:t xml:space="preserve">Bankovní spojení: </w:t>
                          </w:r>
                          <w:r w:rsidR="00871E2D">
                            <w:rPr>
                              <w:iCs/>
                              <w:sz w:val="22"/>
                            </w:rPr>
                            <w:t>Česká spořitelna</w:t>
                          </w:r>
                          <w:r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14:paraId="21737F73" w14:textId="77777777" w:rsidR="009D3D98" w:rsidRPr="00C769FE" w:rsidRDefault="00392B3D" w:rsidP="00871E2D">
                          <w:pPr>
                            <w:ind w:left="34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2100410831/201</w:t>
                          </w:r>
                          <w:r w:rsidR="00871E2D">
                            <w:rPr>
                              <w:iCs/>
                              <w:sz w:val="22"/>
                            </w:rPr>
                            <w:t>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37F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79.4pt;margin-top:-10.9pt;width:20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vDTAIAAIcEAAAOAAAAZHJzL2Uyb0RvYy54bWysVMGO2jAQvVfqP1i+l4SU0G5EWFFWVJVW&#10;uytBtWfjOCSS7XFtQ0L/qN/RH+vYAZZue6p6MR7P5M3MezPMbnslyUFY14Iu6XiUUiI0h6rVu5J+&#10;3azefaTEeaYrJkGLkh6Fo7fzt29mnSlEBg3ISliCINoVnSlp470pksTxRijmRmCERmcNVjGPpt0l&#10;lWUdoiuZZGk6TTqwlbHAhXP4ejc46Tzi17Xg/rGunfBElhRr8/G08dyGM5nPWLGzzDQtP5XB/qEK&#10;xVqNSS9Qd8wzsrftH1Cq5RYc1H7EQSVQ1y0XsQfsZpy+6mbdMCNiL0iOMxea3P+D5Q+HJ0vaqqQZ&#10;JZoplGgjeg+Hnz+IASlIFijqjCswcm0w1vefoEepz+8OH0PnfW1V+MWeCPqR7OOFYEQkHB+zafo+&#10;T9HF0TfN85s8DzDJy9fGOv9ZgCLhUlKLAkZe2eHe+SH0HBKSOZBttWqljEYYGrGUlhwYyi19rBHB&#10;f4uSmnSYHOuIwBrC5wOy1FhL6HXoKdx8v+0jPZd+t1AdkQYLwyw5w1ct1nrPnH9iFocH28OF8I94&#10;1BIwF5xulDRgv//tPcSjpuilpMNhLKn7tmdWUCK/aFT7ZjyZhOmNxiT/kKFhrz3ba4/eqyUgAWNc&#10;PcPjNcR7eb7WFtQz7s0iZEUX0xxzl5R7ezaWflgS3DwuFosYhhNrmL/Xa8MDeKA8aLHpn5k1J8E8&#10;Sv0A58FlxSvdhtjwpYbF3kPdRlED0wOvJwFw2uNYnDYzrNO1HaNe/j/mvwAAAP//AwBQSwMEFAAG&#10;AAgAAAAhAGIdloLdAAAACgEAAA8AAABkcnMvZG93bnJldi54bWxMj0FugzAQRfeVegdrKnUTJYZI&#10;RJRiojRSDxCSAxg8tSl4jLAJ9PZ1Vu1u5s/X/2/K42oHdsfJd44EpLsEGFLrVEdawO36uc2B+SBJ&#10;ycERCvhBD8fq+amUhXILXfBeB81iCPlCCjAhjAXnvjVopd+5ESnevtxkZYjrpLma5BLD7cD3SXLg&#10;VnYUG4wc8Wyw7evZCqgvzWmj6/n7ujEfdF5ufZrqXojXl/X0DizgGv7M8MCP6FBFpsbNpDwbBGRZ&#10;HtGDgO0+jUN0vB0eSiMgTzPgVcn/v1D9AgAA//8DAFBLAQItABQABgAIAAAAIQC2gziS/gAAAOEB&#10;AAATAAAAAAAAAAAAAAAAAAAAAABbQ29udGVudF9UeXBlc10ueG1sUEsBAi0AFAAGAAgAAAAhADj9&#10;If/WAAAAlAEAAAsAAAAAAAAAAAAAAAAALwEAAF9yZWxzLy5yZWxzUEsBAi0AFAAGAAgAAAAhAGAy&#10;q8NMAgAAhwQAAA4AAAAAAAAAAAAAAAAALgIAAGRycy9lMm9Eb2MueG1sUEsBAi0AFAAGAAgAAAAh&#10;AGIdloLdAAAACgEAAA8AAAAAAAAAAAAAAAAApgQAAGRycy9kb3ducmV2LnhtbFBLBQYAAAAABAAE&#10;APMAAACwBQAAAAA=&#10;" fillcolor="white [3201]" stroked="f" strokeweight=".5pt">
              <v:textbox>
                <w:txbxContent>
                  <w:p w14:paraId="21737F72" w14:textId="77777777" w:rsidR="009D3D98" w:rsidRDefault="009D3D98" w:rsidP="00871E2D">
                    <w:pPr>
                      <w:rPr>
                        <w:iCs/>
                        <w:sz w:val="22"/>
                      </w:rPr>
                    </w:pPr>
                    <w:r w:rsidRPr="00F97D53">
                      <w:rPr>
                        <w:iCs/>
                        <w:sz w:val="22"/>
                      </w:rPr>
                      <w:t xml:space="preserve">Bankovní spojení: </w:t>
                    </w:r>
                    <w:r w:rsidR="00871E2D">
                      <w:rPr>
                        <w:iCs/>
                        <w:sz w:val="22"/>
                      </w:rPr>
                      <w:t>Česká spořitelna</w:t>
                    </w:r>
                    <w:r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14:paraId="21737F73" w14:textId="77777777" w:rsidR="009D3D98" w:rsidRPr="00C769FE" w:rsidRDefault="00392B3D" w:rsidP="00871E2D">
                    <w:pPr>
                      <w:ind w:left="340"/>
                      <w:jc w:val="center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2100410831/201</w:t>
                    </w:r>
                    <w:r w:rsidR="00871E2D">
                      <w:rPr>
                        <w:iCs/>
                        <w:sz w:val="22"/>
                      </w:rPr>
                      <w:t>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14:paraId="21737F67" w14:textId="77777777"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37F61" w14:textId="77777777" w:rsidR="00695314" w:rsidRDefault="00695314" w:rsidP="0039352C">
      <w:r>
        <w:separator/>
      </w:r>
    </w:p>
  </w:footnote>
  <w:footnote w:type="continuationSeparator" w:id="0">
    <w:p w14:paraId="21737F62" w14:textId="77777777" w:rsidR="00695314" w:rsidRDefault="00695314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3486"/>
      <w:docPartObj>
        <w:docPartGallery w:val="Page Numbers (Margins)"/>
        <w:docPartUnique/>
      </w:docPartObj>
    </w:sdtPr>
    <w:sdtEndPr/>
    <w:sdtContent>
      <w:p w14:paraId="21737F65" w14:textId="77777777"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737F68" wp14:editId="21737F6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1737F71" w14:textId="3F047905"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E16B78" w:rsidRPr="00E16B78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737F68"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14:paraId="21737F71" w14:textId="3F047905"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E16B78" w:rsidRPr="00E16B78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)"/>
      <w:lvlJc w:val="left"/>
      <w:pPr>
        <w:tabs>
          <w:tab w:val="num" w:pos="1590"/>
        </w:tabs>
        <w:ind w:left="1590" w:hanging="360"/>
      </w:pPr>
    </w:lvl>
  </w:abstractNum>
  <w:abstractNum w:abstractNumId="1" w15:restartNumberingAfterBreak="0">
    <w:nsid w:val="00000009"/>
    <w:multiLevelType w:val="multilevel"/>
    <w:tmpl w:val="3384D9A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428AE"/>
    <w:rsid w:val="000439F3"/>
    <w:rsid w:val="0006341C"/>
    <w:rsid w:val="00087DB6"/>
    <w:rsid w:val="000A2370"/>
    <w:rsid w:val="0010142B"/>
    <w:rsid w:val="0012167B"/>
    <w:rsid w:val="00125AF2"/>
    <w:rsid w:val="00161120"/>
    <w:rsid w:val="001A3C3C"/>
    <w:rsid w:val="001D47A6"/>
    <w:rsid w:val="00250642"/>
    <w:rsid w:val="00252760"/>
    <w:rsid w:val="002737C2"/>
    <w:rsid w:val="0027523C"/>
    <w:rsid w:val="00276351"/>
    <w:rsid w:val="002F5E6C"/>
    <w:rsid w:val="00301659"/>
    <w:rsid w:val="00312E38"/>
    <w:rsid w:val="003537A9"/>
    <w:rsid w:val="00355042"/>
    <w:rsid w:val="00392B3D"/>
    <w:rsid w:val="0039352C"/>
    <w:rsid w:val="003A5821"/>
    <w:rsid w:val="003F00B8"/>
    <w:rsid w:val="0041441E"/>
    <w:rsid w:val="0044485F"/>
    <w:rsid w:val="0046574B"/>
    <w:rsid w:val="00556761"/>
    <w:rsid w:val="00566291"/>
    <w:rsid w:val="005A2E77"/>
    <w:rsid w:val="005D1AA0"/>
    <w:rsid w:val="005D5194"/>
    <w:rsid w:val="006360A9"/>
    <w:rsid w:val="00652223"/>
    <w:rsid w:val="00652DEB"/>
    <w:rsid w:val="00664316"/>
    <w:rsid w:val="00673EAD"/>
    <w:rsid w:val="0067698B"/>
    <w:rsid w:val="00695314"/>
    <w:rsid w:val="006E1E2F"/>
    <w:rsid w:val="007178AF"/>
    <w:rsid w:val="007371D0"/>
    <w:rsid w:val="007730C5"/>
    <w:rsid w:val="007D247E"/>
    <w:rsid w:val="00871E2D"/>
    <w:rsid w:val="008D1F36"/>
    <w:rsid w:val="00951B76"/>
    <w:rsid w:val="009633B1"/>
    <w:rsid w:val="00975412"/>
    <w:rsid w:val="009C58DF"/>
    <w:rsid w:val="009D3D98"/>
    <w:rsid w:val="009E2DB5"/>
    <w:rsid w:val="00A50CB5"/>
    <w:rsid w:val="00A5182D"/>
    <w:rsid w:val="00A711EB"/>
    <w:rsid w:val="00A72220"/>
    <w:rsid w:val="00AA616E"/>
    <w:rsid w:val="00B62B35"/>
    <w:rsid w:val="00C769FE"/>
    <w:rsid w:val="00C77015"/>
    <w:rsid w:val="00C8118E"/>
    <w:rsid w:val="00D17748"/>
    <w:rsid w:val="00D518F1"/>
    <w:rsid w:val="00DB0AAC"/>
    <w:rsid w:val="00DD6430"/>
    <w:rsid w:val="00E16B78"/>
    <w:rsid w:val="00F167D0"/>
    <w:rsid w:val="00F47E1E"/>
    <w:rsid w:val="00F55B23"/>
    <w:rsid w:val="00F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737F27"/>
  <w15:docId w15:val="{51EEDE74-7A14-48E8-8AE1-E38B1F4F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Zkladntext">
    <w:name w:val="Body Text"/>
    <w:basedOn w:val="Normln"/>
    <w:link w:val="ZkladntextChar"/>
    <w:rsid w:val="00A5182D"/>
    <w:pPr>
      <w:widowControl w:val="0"/>
      <w:suppressAutoHyphens/>
      <w:spacing w:after="120"/>
      <w:ind w:left="0"/>
    </w:pPr>
    <w:rPr>
      <w:rFonts w:ascii="Times New Roman" w:eastAsia="Arial Unicode MS" w:hAnsi="Times New Roman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A5182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182D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F262-2FD1-4AE2-8144-64B1F6E5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Denní stacionář KV</dc:creator>
  <cp:lastModifiedBy>Dušek Vojtěch Mgr.</cp:lastModifiedBy>
  <cp:revision>12</cp:revision>
  <cp:lastPrinted>2024-07-16T11:42:00Z</cp:lastPrinted>
  <dcterms:created xsi:type="dcterms:W3CDTF">2023-05-05T07:35:00Z</dcterms:created>
  <dcterms:modified xsi:type="dcterms:W3CDTF">2025-03-31T08:28:00Z</dcterms:modified>
</cp:coreProperties>
</file>